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40"/>
      </w:tblGrid>
      <w:tr w:rsidR="007D00DE" w:rsidRPr="00E76E45" w14:paraId="68C21A2F" w14:textId="77777777" w:rsidTr="00432418">
        <w:tc>
          <w:tcPr>
            <w:tcW w:w="8640" w:type="dxa"/>
          </w:tcPr>
          <w:p w14:paraId="41D581F0" w14:textId="6B60C862" w:rsidR="007D00DE" w:rsidRPr="005D4EB6" w:rsidRDefault="00395ABC">
            <w:pPr>
              <w:pStyle w:val="Heading1"/>
              <w:jc w:val="both"/>
              <w:rPr>
                <w:sz w:val="24"/>
                <w:szCs w:val="21"/>
              </w:rPr>
            </w:pPr>
            <w:r w:rsidRPr="005D4EB6">
              <w:rPr>
                <w:sz w:val="24"/>
                <w:szCs w:val="21"/>
              </w:rPr>
              <w:t>Educ 475 – Lesson #</w:t>
            </w:r>
            <w:r w:rsidR="00E23A52">
              <w:rPr>
                <w:sz w:val="24"/>
                <w:szCs w:val="21"/>
              </w:rPr>
              <w:t>10</w:t>
            </w:r>
          </w:p>
          <w:p w14:paraId="36E6B452" w14:textId="750199A4" w:rsidR="007D00DE" w:rsidRPr="005D4EB6" w:rsidRDefault="00E23A52">
            <w:pPr>
              <w:jc w:val="both"/>
              <w:rPr>
                <w:rFonts w:ascii="Times New Roman" w:hAnsi="Times New Roman"/>
                <w:szCs w:val="21"/>
              </w:rPr>
            </w:pPr>
            <w:r>
              <w:rPr>
                <w:rFonts w:ascii="Times New Roman" w:hAnsi="Times New Roman"/>
                <w:szCs w:val="21"/>
              </w:rPr>
              <w:t>Numeracy</w:t>
            </w:r>
          </w:p>
          <w:p w14:paraId="4BA0895A" w14:textId="77777777" w:rsidR="007D00DE" w:rsidRPr="005D4EB6" w:rsidRDefault="007D00DE">
            <w:pPr>
              <w:jc w:val="both"/>
              <w:rPr>
                <w:rFonts w:ascii="Times New Roman" w:hAnsi="Times New Roman"/>
                <w:szCs w:val="21"/>
              </w:rPr>
            </w:pPr>
          </w:p>
        </w:tc>
      </w:tr>
      <w:tr w:rsidR="00D633AD" w:rsidRPr="00E76E45" w14:paraId="5D42B5D3" w14:textId="77777777" w:rsidTr="00432418">
        <w:tc>
          <w:tcPr>
            <w:tcW w:w="8640" w:type="dxa"/>
          </w:tcPr>
          <w:p w14:paraId="7A5AED27" w14:textId="77777777" w:rsidR="00D633AD" w:rsidRDefault="00D633AD" w:rsidP="00D633AD">
            <w:pPr>
              <w:pStyle w:val="Heading3"/>
              <w:jc w:val="both"/>
            </w:pPr>
            <w:r w:rsidRPr="004447D1">
              <w:t xml:space="preserve">Lesson Summary </w:t>
            </w:r>
          </w:p>
          <w:p w14:paraId="7B890C0F" w14:textId="6F958EBB" w:rsidR="00D633AD" w:rsidRDefault="00E23A52" w:rsidP="00D633AD">
            <w:r>
              <w:t xml:space="preserve">Is numeracy just another word for mathematics? If not, how is it different? This lesson is all about this topic and through the engagement in several tasks, discussion, and an article you will develop your thinking about this topic. </w:t>
            </w:r>
          </w:p>
          <w:p w14:paraId="30418972" w14:textId="157318BF" w:rsidR="00D633AD" w:rsidRPr="00D633AD" w:rsidRDefault="00D633AD" w:rsidP="00D633AD"/>
        </w:tc>
      </w:tr>
      <w:tr w:rsidR="002A5E17" w:rsidRPr="00E76E45" w14:paraId="007DB185" w14:textId="77777777" w:rsidTr="00432418">
        <w:tc>
          <w:tcPr>
            <w:tcW w:w="8640" w:type="dxa"/>
          </w:tcPr>
          <w:p w14:paraId="11052203" w14:textId="181C5AC5" w:rsidR="00E23A52" w:rsidRDefault="00E23A52" w:rsidP="00E23A52">
            <w:pPr>
              <w:pStyle w:val="Heading3"/>
              <w:rPr>
                <w:rFonts w:ascii="Times New Roman" w:hAnsi="Times New Roman"/>
                <w:szCs w:val="21"/>
              </w:rPr>
            </w:pPr>
            <w:r>
              <w:rPr>
                <w:rFonts w:ascii="Times New Roman" w:hAnsi="Times New Roman"/>
                <w:szCs w:val="21"/>
              </w:rPr>
              <w:t>Lesson #</w:t>
            </w:r>
            <w:r>
              <w:rPr>
                <w:rFonts w:ascii="Times New Roman" w:hAnsi="Times New Roman"/>
                <w:szCs w:val="21"/>
              </w:rPr>
              <w:t>10</w:t>
            </w:r>
            <w:r>
              <w:rPr>
                <w:rFonts w:ascii="Times New Roman" w:hAnsi="Times New Roman"/>
                <w:szCs w:val="21"/>
              </w:rPr>
              <w:t xml:space="preserve"> Virtual </w:t>
            </w:r>
          </w:p>
          <w:p w14:paraId="109C3BAE" w14:textId="12E07137" w:rsidR="00E23A52" w:rsidRDefault="00E23A52" w:rsidP="00E41D5E">
            <w:pPr>
              <w:pStyle w:val="ListParagraph"/>
              <w:numPr>
                <w:ilvl w:val="0"/>
                <w:numId w:val="10"/>
              </w:numPr>
              <w:rPr>
                <w:szCs w:val="21"/>
              </w:rPr>
            </w:pPr>
            <w:r w:rsidRPr="00E23A52">
              <w:rPr>
                <w:szCs w:val="21"/>
              </w:rPr>
              <w:t>There is no synchronous meeting scheduled for Monday, March 23</w:t>
            </w:r>
            <w:r w:rsidRPr="00E23A52">
              <w:rPr>
                <w:szCs w:val="21"/>
                <w:vertAlign w:val="superscript"/>
              </w:rPr>
              <w:t>rd</w:t>
            </w:r>
            <w:r w:rsidRPr="00E23A52">
              <w:rPr>
                <w:szCs w:val="21"/>
              </w:rPr>
              <w:t xml:space="preserve">. Instead, lesson #10 exists as a series of four discussions </w:t>
            </w:r>
            <w:r>
              <w:rPr>
                <w:szCs w:val="21"/>
              </w:rPr>
              <w:t>(#3-6) in</w:t>
            </w:r>
            <w:r w:rsidRPr="00E23A52">
              <w:rPr>
                <w:szCs w:val="21"/>
              </w:rPr>
              <w:t xml:space="preserve"> Canvas</w:t>
            </w:r>
            <w:r>
              <w:rPr>
                <w:szCs w:val="21"/>
              </w:rPr>
              <w:t xml:space="preserve">. </w:t>
            </w:r>
          </w:p>
          <w:p w14:paraId="741E8A0D" w14:textId="0AD7B736" w:rsidR="00616334" w:rsidRPr="00E23A52" w:rsidRDefault="00E23A52" w:rsidP="00E41D5E">
            <w:pPr>
              <w:pStyle w:val="ListParagraph"/>
              <w:numPr>
                <w:ilvl w:val="0"/>
                <w:numId w:val="10"/>
              </w:numPr>
              <w:rPr>
                <w:szCs w:val="21"/>
              </w:rPr>
            </w:pPr>
            <w:r w:rsidRPr="00E23A52">
              <w:rPr>
                <w:szCs w:val="21"/>
              </w:rPr>
              <w:t xml:space="preserve">These discussions are all open now and will remain open for the next week. </w:t>
            </w:r>
          </w:p>
          <w:p w14:paraId="65829804" w14:textId="0A95D048" w:rsidR="00E23A52" w:rsidRDefault="00E23A52" w:rsidP="00E23A52">
            <w:pPr>
              <w:pStyle w:val="ListParagraph"/>
              <w:numPr>
                <w:ilvl w:val="0"/>
                <w:numId w:val="10"/>
              </w:numPr>
              <w:rPr>
                <w:szCs w:val="21"/>
              </w:rPr>
            </w:pPr>
            <w:r>
              <w:rPr>
                <w:szCs w:val="21"/>
              </w:rPr>
              <w:t xml:space="preserve">You are expected to enter your own response to my prompts AND you are expected to respond to other's comments. This means that, even though you have left your own comments, you need to re-enter the discussion several times to comment on other's thoughts as well as respond to comments your peers may have left for you. </w:t>
            </w:r>
          </w:p>
          <w:p w14:paraId="30642263" w14:textId="1788285C" w:rsidR="00F2207D" w:rsidRDefault="00F2207D" w:rsidP="00E23A52">
            <w:pPr>
              <w:pStyle w:val="ListParagraph"/>
              <w:numPr>
                <w:ilvl w:val="0"/>
                <w:numId w:val="10"/>
              </w:numPr>
              <w:rPr>
                <w:szCs w:val="21"/>
              </w:rPr>
            </w:pPr>
            <w:r>
              <w:rPr>
                <w:szCs w:val="21"/>
              </w:rPr>
              <w:t>There is a 7</w:t>
            </w:r>
            <w:r w:rsidRPr="00F2207D">
              <w:rPr>
                <w:szCs w:val="21"/>
                <w:vertAlign w:val="superscript"/>
              </w:rPr>
              <w:t>th</w:t>
            </w:r>
            <w:r>
              <w:rPr>
                <w:szCs w:val="21"/>
              </w:rPr>
              <w:t xml:space="preserve"> discussion in Canvas called </w:t>
            </w:r>
            <w:r w:rsidRPr="00F2207D">
              <w:rPr>
                <w:i/>
                <w:iCs/>
                <w:szCs w:val="21"/>
              </w:rPr>
              <w:t>Q&amp;A with Peter</w:t>
            </w:r>
            <w:r>
              <w:rPr>
                <w:szCs w:val="21"/>
              </w:rPr>
              <w:t xml:space="preserve">. This is a place where you can ask me questions from the course, your readings, or your experiences. </w:t>
            </w:r>
            <w:proofErr w:type="gramStart"/>
            <w:r>
              <w:rPr>
                <w:szCs w:val="21"/>
              </w:rPr>
              <w:t>In essence</w:t>
            </w:r>
            <w:bookmarkStart w:id="0" w:name="_GoBack"/>
            <w:bookmarkEnd w:id="0"/>
            <w:r>
              <w:rPr>
                <w:szCs w:val="21"/>
              </w:rPr>
              <w:t>, they</w:t>
            </w:r>
            <w:proofErr w:type="gramEnd"/>
            <w:r>
              <w:rPr>
                <w:szCs w:val="21"/>
              </w:rPr>
              <w:t xml:space="preserve"> can be anything as long as they are related to the teaching and learning of mathematics. I will do my best to answer you and/or direct you to places where you can find the answer. </w:t>
            </w:r>
          </w:p>
          <w:p w14:paraId="5809869A" w14:textId="554F7D31" w:rsidR="00E23A52" w:rsidRPr="00E23A52" w:rsidRDefault="00E23A52" w:rsidP="00E23A52">
            <w:pPr>
              <w:rPr>
                <w:szCs w:val="21"/>
              </w:rPr>
            </w:pPr>
          </w:p>
        </w:tc>
      </w:tr>
      <w:tr w:rsidR="00FF6368" w:rsidRPr="00E76E45" w14:paraId="2F4B1633" w14:textId="77777777" w:rsidTr="00432418">
        <w:tc>
          <w:tcPr>
            <w:tcW w:w="8640" w:type="dxa"/>
          </w:tcPr>
          <w:p w14:paraId="6DED5C4B" w14:textId="77777777" w:rsidR="00457986" w:rsidRPr="00457986" w:rsidRDefault="00457986" w:rsidP="00457986"/>
          <w:p w14:paraId="26180277" w14:textId="77777777" w:rsidR="00E23A52" w:rsidRPr="005D4EB6" w:rsidRDefault="00E23A52" w:rsidP="00E23A52">
            <w:pPr>
              <w:pStyle w:val="Heading3"/>
              <w:jc w:val="both"/>
              <w:rPr>
                <w:rFonts w:ascii="Times New Roman" w:hAnsi="Times New Roman"/>
                <w:szCs w:val="21"/>
              </w:rPr>
            </w:pPr>
            <w:r w:rsidRPr="005D4EB6">
              <w:rPr>
                <w:rFonts w:ascii="Times New Roman" w:hAnsi="Times New Roman"/>
                <w:szCs w:val="21"/>
              </w:rPr>
              <w:t xml:space="preserve">Written Journal </w:t>
            </w:r>
          </w:p>
          <w:p w14:paraId="5B7F31F9" w14:textId="29C2809D" w:rsidR="00E23A52" w:rsidRDefault="00E23A52" w:rsidP="00E23A52">
            <w:pPr>
              <w:numPr>
                <w:ilvl w:val="0"/>
                <w:numId w:val="4"/>
              </w:numPr>
              <w:tabs>
                <w:tab w:val="clear" w:pos="360"/>
                <w:tab w:val="num" w:pos="720"/>
              </w:tabs>
              <w:ind w:left="720"/>
              <w:jc w:val="both"/>
              <w:rPr>
                <w:rFonts w:ascii="Times New Roman" w:hAnsi="Times New Roman"/>
                <w:szCs w:val="21"/>
              </w:rPr>
            </w:pPr>
            <w:r>
              <w:rPr>
                <w:rFonts w:ascii="Times New Roman" w:hAnsi="Times New Roman"/>
                <w:szCs w:val="21"/>
              </w:rPr>
              <w:t>What is numeracy and what does it mean to be numerate?</w:t>
            </w:r>
          </w:p>
          <w:p w14:paraId="055CC659" w14:textId="78A1A6C2" w:rsidR="00E23A52" w:rsidRDefault="00E23A52" w:rsidP="00E23A52">
            <w:pPr>
              <w:numPr>
                <w:ilvl w:val="0"/>
                <w:numId w:val="4"/>
              </w:numPr>
              <w:tabs>
                <w:tab w:val="clear" w:pos="360"/>
                <w:tab w:val="num" w:pos="720"/>
              </w:tabs>
              <w:ind w:left="720"/>
              <w:jc w:val="both"/>
              <w:rPr>
                <w:rFonts w:ascii="Times New Roman" w:hAnsi="Times New Roman"/>
                <w:szCs w:val="21"/>
              </w:rPr>
            </w:pPr>
            <w:r>
              <w:rPr>
                <w:rFonts w:ascii="Times New Roman" w:hAnsi="Times New Roman"/>
                <w:szCs w:val="21"/>
              </w:rPr>
              <w:t>Answer anew:</w:t>
            </w:r>
          </w:p>
          <w:p w14:paraId="6C8753F0" w14:textId="581B27E8" w:rsidR="00E23A52" w:rsidRDefault="00E23A52" w:rsidP="00E23A52">
            <w:pPr>
              <w:numPr>
                <w:ilvl w:val="1"/>
                <w:numId w:val="4"/>
              </w:numPr>
              <w:jc w:val="both"/>
              <w:rPr>
                <w:rFonts w:ascii="Times New Roman" w:hAnsi="Times New Roman"/>
                <w:szCs w:val="21"/>
              </w:rPr>
            </w:pPr>
            <w:r>
              <w:rPr>
                <w:rFonts w:ascii="Times New Roman" w:hAnsi="Times New Roman"/>
                <w:szCs w:val="21"/>
              </w:rPr>
              <w:t>What is mathematics?</w:t>
            </w:r>
          </w:p>
          <w:p w14:paraId="24D6C899" w14:textId="569F05D3" w:rsidR="00E23A52" w:rsidRDefault="00E23A52" w:rsidP="00E23A52">
            <w:pPr>
              <w:numPr>
                <w:ilvl w:val="1"/>
                <w:numId w:val="4"/>
              </w:numPr>
              <w:jc w:val="both"/>
              <w:rPr>
                <w:rFonts w:ascii="Times New Roman" w:hAnsi="Times New Roman"/>
                <w:szCs w:val="21"/>
              </w:rPr>
            </w:pPr>
            <w:r>
              <w:rPr>
                <w:rFonts w:ascii="Times New Roman" w:hAnsi="Times New Roman"/>
                <w:szCs w:val="21"/>
              </w:rPr>
              <w:t>What does it mean to learn mathematics?</w:t>
            </w:r>
          </w:p>
          <w:p w14:paraId="2DAF5C99" w14:textId="79453CD7" w:rsidR="00E23A52" w:rsidRDefault="00E23A52" w:rsidP="00E23A52">
            <w:pPr>
              <w:numPr>
                <w:ilvl w:val="1"/>
                <w:numId w:val="4"/>
              </w:numPr>
              <w:jc w:val="both"/>
              <w:rPr>
                <w:rFonts w:ascii="Times New Roman" w:hAnsi="Times New Roman"/>
                <w:szCs w:val="21"/>
              </w:rPr>
            </w:pPr>
            <w:r>
              <w:rPr>
                <w:rFonts w:ascii="Times New Roman" w:hAnsi="Times New Roman"/>
                <w:szCs w:val="21"/>
              </w:rPr>
              <w:t xml:space="preserve">What does it mean to teach mathematics? </w:t>
            </w:r>
          </w:p>
          <w:p w14:paraId="703BFA91" w14:textId="02060B2A" w:rsidR="00E23A52" w:rsidRPr="00F2207D" w:rsidRDefault="00F2207D" w:rsidP="00F2207D">
            <w:pPr>
              <w:numPr>
                <w:ilvl w:val="0"/>
                <w:numId w:val="4"/>
              </w:numPr>
              <w:tabs>
                <w:tab w:val="clear" w:pos="360"/>
                <w:tab w:val="num" w:pos="720"/>
              </w:tabs>
              <w:ind w:left="720"/>
              <w:jc w:val="both"/>
              <w:rPr>
                <w:rFonts w:ascii="Times New Roman" w:hAnsi="Times New Roman"/>
                <w:szCs w:val="21"/>
              </w:rPr>
            </w:pPr>
            <w:r>
              <w:rPr>
                <w:rFonts w:ascii="Times New Roman" w:hAnsi="Times New Roman"/>
                <w:szCs w:val="21"/>
              </w:rPr>
              <w:t>Re-read your entire journal</w:t>
            </w:r>
            <w:r>
              <w:rPr>
                <w:rFonts w:ascii="Times New Roman" w:hAnsi="Times New Roman"/>
                <w:szCs w:val="21"/>
              </w:rPr>
              <w:t xml:space="preserve">. How has your thinking changed </w:t>
            </w:r>
            <w:r>
              <w:rPr>
                <w:rFonts w:ascii="Times New Roman" w:hAnsi="Times New Roman"/>
                <w:szCs w:val="21"/>
              </w:rPr>
              <w:t>in the time you have been in EDUC 475</w:t>
            </w:r>
            <w:r>
              <w:rPr>
                <w:rFonts w:ascii="Times New Roman" w:hAnsi="Times New Roman"/>
                <w:szCs w:val="21"/>
              </w:rPr>
              <w:t>?</w:t>
            </w:r>
          </w:p>
          <w:p w14:paraId="08729858" w14:textId="50454094" w:rsidR="00FF6368" w:rsidRPr="00FF6368" w:rsidRDefault="00FF6368" w:rsidP="00FF6368"/>
        </w:tc>
      </w:tr>
      <w:tr w:rsidR="00537E4C" w:rsidRPr="00E76E45" w14:paraId="47F545CA" w14:textId="77777777" w:rsidTr="00432418">
        <w:tc>
          <w:tcPr>
            <w:tcW w:w="8640" w:type="dxa"/>
          </w:tcPr>
          <w:p w14:paraId="710FDA2F" w14:textId="77777777" w:rsidR="003206D5" w:rsidRPr="005D4EB6" w:rsidRDefault="00537E4C" w:rsidP="003206D5">
            <w:pPr>
              <w:pStyle w:val="Heading3"/>
              <w:rPr>
                <w:rFonts w:ascii="Times New Roman" w:hAnsi="Times New Roman"/>
                <w:szCs w:val="21"/>
              </w:rPr>
            </w:pPr>
            <w:r w:rsidRPr="005D4EB6">
              <w:rPr>
                <w:rFonts w:ascii="Times New Roman" w:hAnsi="Times New Roman"/>
                <w:szCs w:val="21"/>
              </w:rPr>
              <w:t>Things to Remember</w:t>
            </w:r>
          </w:p>
          <w:p w14:paraId="6E930A5F" w14:textId="07B647C9" w:rsidR="00537E4C" w:rsidRDefault="005F4801" w:rsidP="005F4801">
            <w:pPr>
              <w:pStyle w:val="Heading3"/>
              <w:numPr>
                <w:ilvl w:val="0"/>
                <w:numId w:val="12"/>
              </w:numPr>
              <w:rPr>
                <w:rFonts w:ascii="Times New Roman" w:hAnsi="Times New Roman"/>
                <w:b w:val="0"/>
                <w:bCs w:val="0"/>
                <w:szCs w:val="21"/>
              </w:rPr>
            </w:pPr>
            <w:r>
              <w:rPr>
                <w:rFonts w:ascii="Times New Roman" w:hAnsi="Times New Roman"/>
                <w:b w:val="0"/>
                <w:bCs w:val="0"/>
                <w:szCs w:val="21"/>
              </w:rPr>
              <w:t>All y</w:t>
            </w:r>
            <w:r w:rsidRPr="005F4801">
              <w:rPr>
                <w:rFonts w:ascii="Times New Roman" w:hAnsi="Times New Roman"/>
                <w:b w:val="0"/>
                <w:bCs w:val="0"/>
                <w:szCs w:val="21"/>
              </w:rPr>
              <w:t xml:space="preserve">our </w:t>
            </w:r>
            <w:r>
              <w:rPr>
                <w:rFonts w:ascii="Times New Roman" w:hAnsi="Times New Roman"/>
                <w:b w:val="0"/>
                <w:bCs w:val="0"/>
                <w:szCs w:val="21"/>
              </w:rPr>
              <w:t xml:space="preserve">course </w:t>
            </w:r>
            <w:r w:rsidRPr="005F4801">
              <w:rPr>
                <w:rFonts w:ascii="Times New Roman" w:hAnsi="Times New Roman"/>
                <w:b w:val="0"/>
                <w:bCs w:val="0"/>
                <w:szCs w:val="21"/>
              </w:rPr>
              <w:t xml:space="preserve">assignments </w:t>
            </w:r>
            <w:r>
              <w:rPr>
                <w:rFonts w:ascii="Times New Roman" w:hAnsi="Times New Roman"/>
                <w:b w:val="0"/>
                <w:bCs w:val="0"/>
                <w:szCs w:val="21"/>
              </w:rPr>
              <w:t xml:space="preserve">are due on March </w:t>
            </w:r>
            <w:r w:rsidR="00D149A9">
              <w:rPr>
                <w:rFonts w:ascii="Times New Roman" w:hAnsi="Times New Roman"/>
                <w:b w:val="0"/>
                <w:bCs w:val="0"/>
                <w:szCs w:val="21"/>
              </w:rPr>
              <w:t>30</w:t>
            </w:r>
            <w:r w:rsidR="00D149A9" w:rsidRPr="00D149A9">
              <w:rPr>
                <w:rFonts w:ascii="Times New Roman" w:hAnsi="Times New Roman"/>
                <w:b w:val="0"/>
                <w:bCs w:val="0"/>
                <w:szCs w:val="21"/>
                <w:vertAlign w:val="superscript"/>
              </w:rPr>
              <w:t>th</w:t>
            </w:r>
            <w:r>
              <w:rPr>
                <w:rFonts w:ascii="Times New Roman" w:hAnsi="Times New Roman"/>
                <w:b w:val="0"/>
                <w:bCs w:val="0"/>
                <w:szCs w:val="21"/>
              </w:rPr>
              <w:t xml:space="preserve">. If you need more time than that for anything let me know via email. </w:t>
            </w:r>
          </w:p>
          <w:p w14:paraId="0EC01B86" w14:textId="021C40DB" w:rsidR="005F4801" w:rsidRDefault="005F4801" w:rsidP="005F4801">
            <w:pPr>
              <w:pStyle w:val="ListParagraph"/>
              <w:numPr>
                <w:ilvl w:val="0"/>
                <w:numId w:val="12"/>
              </w:numPr>
            </w:pPr>
            <w:r>
              <w:t xml:space="preserve">If you are assignments are in a form that can be </w:t>
            </w:r>
            <w:proofErr w:type="gramStart"/>
            <w:r>
              <w:t>emailed</w:t>
            </w:r>
            <w:proofErr w:type="gramEnd"/>
            <w:r>
              <w:t xml:space="preserve"> then send them along at any time prior to the due date. </w:t>
            </w:r>
          </w:p>
          <w:p w14:paraId="45C38770" w14:textId="3633A1C0" w:rsidR="00F2207D" w:rsidRDefault="005F4801" w:rsidP="00F2207D">
            <w:pPr>
              <w:pStyle w:val="ListParagraph"/>
              <w:numPr>
                <w:ilvl w:val="0"/>
                <w:numId w:val="12"/>
              </w:numPr>
            </w:pPr>
            <w:r>
              <w:t xml:space="preserve">If your assignments are hard copy (which is totally ok) then you have two choices. You can drop them of at </w:t>
            </w:r>
            <w:r w:rsidR="00F2207D">
              <w:t>my house or you can mail them to me (address in the email I sent on March 18</w:t>
            </w:r>
            <w:r w:rsidR="00F2207D" w:rsidRPr="00F2207D">
              <w:rPr>
                <w:vertAlign w:val="superscript"/>
              </w:rPr>
              <w:t>th</w:t>
            </w:r>
            <w:r w:rsidR="00F2207D">
              <w:t xml:space="preserve">). </w:t>
            </w:r>
            <w:r w:rsidR="00372AFF">
              <w:t xml:space="preserve">If either of these options are a problem, please email me and we can discuss it. </w:t>
            </w:r>
          </w:p>
          <w:p w14:paraId="75D11984" w14:textId="3DEFC6E2" w:rsidR="00F2207D" w:rsidRDefault="00F2207D" w:rsidP="00F2207D">
            <w:pPr>
              <w:pStyle w:val="ListParagraph"/>
              <w:numPr>
                <w:ilvl w:val="0"/>
                <w:numId w:val="12"/>
              </w:numPr>
            </w:pPr>
            <w:r>
              <w:t xml:space="preserve">We did not finish reading the course textbook. I suggest you do so. And then keep it close. It will be a source of inspiration and aid to you for the rest of your career. </w:t>
            </w:r>
          </w:p>
          <w:p w14:paraId="4ECDCB18" w14:textId="085550F7" w:rsidR="005F4801" w:rsidRPr="005F4801" w:rsidRDefault="005F4801" w:rsidP="00372AFF">
            <w:pPr>
              <w:ind w:left="720"/>
            </w:pPr>
            <w:r>
              <w:t xml:space="preserve"> </w:t>
            </w:r>
          </w:p>
        </w:tc>
      </w:tr>
    </w:tbl>
    <w:p w14:paraId="278329B4" w14:textId="77777777" w:rsidR="007D00DE" w:rsidRPr="00E76E45" w:rsidRDefault="007D00DE">
      <w:pPr>
        <w:jc w:val="both"/>
        <w:rPr>
          <w:rFonts w:ascii="Times New Roman" w:hAnsi="Times New Roman"/>
          <w:sz w:val="21"/>
          <w:szCs w:val="21"/>
        </w:rPr>
      </w:pPr>
    </w:p>
    <w:sectPr w:rsidR="007D00DE" w:rsidRPr="00E76E45" w:rsidSect="00F2207D">
      <w:pgSz w:w="12240" w:h="15840"/>
      <w:pgMar w:top="1440" w:right="1800" w:bottom="9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196D"/>
    <w:multiLevelType w:val="hybridMultilevel"/>
    <w:tmpl w:val="3402A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950C58"/>
    <w:multiLevelType w:val="hybridMultilevel"/>
    <w:tmpl w:val="C846A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48633F"/>
    <w:multiLevelType w:val="hybridMultilevel"/>
    <w:tmpl w:val="607A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176DD2"/>
    <w:multiLevelType w:val="hybridMultilevel"/>
    <w:tmpl w:val="C292F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5A56100"/>
    <w:multiLevelType w:val="multilevel"/>
    <w:tmpl w:val="75B654E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E74E86"/>
    <w:multiLevelType w:val="hybridMultilevel"/>
    <w:tmpl w:val="551EDF4E"/>
    <w:lvl w:ilvl="0" w:tplc="A9C0A784">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8425F9"/>
    <w:multiLevelType w:val="hybridMultilevel"/>
    <w:tmpl w:val="AF28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C1FF3"/>
    <w:multiLevelType w:val="hybridMultilevel"/>
    <w:tmpl w:val="B78E6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453D20"/>
    <w:multiLevelType w:val="hybridMultilevel"/>
    <w:tmpl w:val="5D60C56A"/>
    <w:lvl w:ilvl="0" w:tplc="39748914">
      <w:start w:val="1"/>
      <w:numFmt w:val="bullet"/>
      <w:lvlText w:val=""/>
      <w:lvlJc w:val="left"/>
      <w:pPr>
        <w:tabs>
          <w:tab w:val="num" w:pos="360"/>
        </w:tabs>
        <w:ind w:left="360" w:hanging="360"/>
      </w:pPr>
      <w:rPr>
        <w:rFonts w:ascii="Symbol" w:hAnsi="Symbol" w:hint="default"/>
        <w:sz w:val="20"/>
        <w:szCs w:val="20"/>
      </w:rPr>
    </w:lvl>
    <w:lvl w:ilvl="1" w:tplc="4C6ADD44">
      <w:start w:val="1"/>
      <w:numFmt w:val="bullet"/>
      <w:lvlText w:val="–"/>
      <w:lvlJc w:val="left"/>
      <w:pPr>
        <w:tabs>
          <w:tab w:val="num" w:pos="1080"/>
        </w:tabs>
        <w:ind w:left="1080" w:hanging="360"/>
      </w:pPr>
      <w:rPr>
        <w:rFonts w:ascii="Courier New" w:hAnsi="Courier New"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395D6C"/>
    <w:multiLevelType w:val="hybridMultilevel"/>
    <w:tmpl w:val="1DE2F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B71BF8"/>
    <w:multiLevelType w:val="hybridMultilevel"/>
    <w:tmpl w:val="75B654EA"/>
    <w:lvl w:ilvl="0" w:tplc="3974891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6C314A"/>
    <w:multiLevelType w:val="hybridMultilevel"/>
    <w:tmpl w:val="2F30B6A4"/>
    <w:lvl w:ilvl="0" w:tplc="10090001">
      <w:start w:val="1"/>
      <w:numFmt w:val="bullet"/>
      <w:lvlText w:val=""/>
      <w:lvlJc w:val="left"/>
      <w:pPr>
        <w:ind w:left="948" w:hanging="360"/>
      </w:pPr>
      <w:rPr>
        <w:rFonts w:ascii="Symbol" w:hAnsi="Symbol" w:hint="default"/>
      </w:rPr>
    </w:lvl>
    <w:lvl w:ilvl="1" w:tplc="10090003" w:tentative="1">
      <w:start w:val="1"/>
      <w:numFmt w:val="bullet"/>
      <w:lvlText w:val="o"/>
      <w:lvlJc w:val="left"/>
      <w:pPr>
        <w:ind w:left="1668" w:hanging="360"/>
      </w:pPr>
      <w:rPr>
        <w:rFonts w:ascii="Courier New" w:hAnsi="Courier New" w:cs="Courier New" w:hint="default"/>
      </w:rPr>
    </w:lvl>
    <w:lvl w:ilvl="2" w:tplc="10090005" w:tentative="1">
      <w:start w:val="1"/>
      <w:numFmt w:val="bullet"/>
      <w:lvlText w:val=""/>
      <w:lvlJc w:val="left"/>
      <w:pPr>
        <w:ind w:left="2388" w:hanging="360"/>
      </w:pPr>
      <w:rPr>
        <w:rFonts w:ascii="Wingdings" w:hAnsi="Wingdings" w:hint="default"/>
      </w:rPr>
    </w:lvl>
    <w:lvl w:ilvl="3" w:tplc="10090001" w:tentative="1">
      <w:start w:val="1"/>
      <w:numFmt w:val="bullet"/>
      <w:lvlText w:val=""/>
      <w:lvlJc w:val="left"/>
      <w:pPr>
        <w:ind w:left="3108" w:hanging="360"/>
      </w:pPr>
      <w:rPr>
        <w:rFonts w:ascii="Symbol" w:hAnsi="Symbol" w:hint="default"/>
      </w:rPr>
    </w:lvl>
    <w:lvl w:ilvl="4" w:tplc="10090003" w:tentative="1">
      <w:start w:val="1"/>
      <w:numFmt w:val="bullet"/>
      <w:lvlText w:val="o"/>
      <w:lvlJc w:val="left"/>
      <w:pPr>
        <w:ind w:left="3828" w:hanging="360"/>
      </w:pPr>
      <w:rPr>
        <w:rFonts w:ascii="Courier New" w:hAnsi="Courier New" w:cs="Courier New" w:hint="default"/>
      </w:rPr>
    </w:lvl>
    <w:lvl w:ilvl="5" w:tplc="10090005" w:tentative="1">
      <w:start w:val="1"/>
      <w:numFmt w:val="bullet"/>
      <w:lvlText w:val=""/>
      <w:lvlJc w:val="left"/>
      <w:pPr>
        <w:ind w:left="4548" w:hanging="360"/>
      </w:pPr>
      <w:rPr>
        <w:rFonts w:ascii="Wingdings" w:hAnsi="Wingdings" w:hint="default"/>
      </w:rPr>
    </w:lvl>
    <w:lvl w:ilvl="6" w:tplc="10090001" w:tentative="1">
      <w:start w:val="1"/>
      <w:numFmt w:val="bullet"/>
      <w:lvlText w:val=""/>
      <w:lvlJc w:val="left"/>
      <w:pPr>
        <w:ind w:left="5268" w:hanging="360"/>
      </w:pPr>
      <w:rPr>
        <w:rFonts w:ascii="Symbol" w:hAnsi="Symbol" w:hint="default"/>
      </w:rPr>
    </w:lvl>
    <w:lvl w:ilvl="7" w:tplc="10090003" w:tentative="1">
      <w:start w:val="1"/>
      <w:numFmt w:val="bullet"/>
      <w:lvlText w:val="o"/>
      <w:lvlJc w:val="left"/>
      <w:pPr>
        <w:ind w:left="5988" w:hanging="360"/>
      </w:pPr>
      <w:rPr>
        <w:rFonts w:ascii="Courier New" w:hAnsi="Courier New" w:cs="Courier New" w:hint="default"/>
      </w:rPr>
    </w:lvl>
    <w:lvl w:ilvl="8" w:tplc="10090005" w:tentative="1">
      <w:start w:val="1"/>
      <w:numFmt w:val="bullet"/>
      <w:lvlText w:val=""/>
      <w:lvlJc w:val="left"/>
      <w:pPr>
        <w:ind w:left="6708" w:hanging="360"/>
      </w:pPr>
      <w:rPr>
        <w:rFonts w:ascii="Wingdings" w:hAnsi="Wingdings" w:hint="default"/>
      </w:rPr>
    </w:lvl>
  </w:abstractNum>
  <w:num w:numId="1">
    <w:abstractNumId w:val="1"/>
  </w:num>
  <w:num w:numId="2">
    <w:abstractNumId w:val="3"/>
  </w:num>
  <w:num w:numId="3">
    <w:abstractNumId w:val="5"/>
  </w:num>
  <w:num w:numId="4">
    <w:abstractNumId w:val="10"/>
  </w:num>
  <w:num w:numId="5">
    <w:abstractNumId w:val="4"/>
  </w:num>
  <w:num w:numId="6">
    <w:abstractNumId w:val="8"/>
  </w:num>
  <w:num w:numId="7">
    <w:abstractNumId w:val="7"/>
  </w:num>
  <w:num w:numId="8">
    <w:abstractNumId w:val="11"/>
  </w:num>
  <w:num w:numId="9">
    <w:abstractNumId w:val="6"/>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73"/>
    <w:rsid w:val="000C729C"/>
    <w:rsid w:val="002A5E17"/>
    <w:rsid w:val="003206D5"/>
    <w:rsid w:val="00372AFF"/>
    <w:rsid w:val="003811F7"/>
    <w:rsid w:val="00395ABC"/>
    <w:rsid w:val="00413DDC"/>
    <w:rsid w:val="00432418"/>
    <w:rsid w:val="00457986"/>
    <w:rsid w:val="00484FC1"/>
    <w:rsid w:val="00537E4C"/>
    <w:rsid w:val="0059321D"/>
    <w:rsid w:val="005C451B"/>
    <w:rsid w:val="005D4EB6"/>
    <w:rsid w:val="005F4801"/>
    <w:rsid w:val="00616334"/>
    <w:rsid w:val="007D00DE"/>
    <w:rsid w:val="00821F7D"/>
    <w:rsid w:val="008633A2"/>
    <w:rsid w:val="00876E9D"/>
    <w:rsid w:val="008F305E"/>
    <w:rsid w:val="00976515"/>
    <w:rsid w:val="00A51116"/>
    <w:rsid w:val="00AE21ED"/>
    <w:rsid w:val="00B25A73"/>
    <w:rsid w:val="00BE0EE3"/>
    <w:rsid w:val="00D149A9"/>
    <w:rsid w:val="00D5739E"/>
    <w:rsid w:val="00D633AD"/>
    <w:rsid w:val="00D76121"/>
    <w:rsid w:val="00E118D4"/>
    <w:rsid w:val="00E23A52"/>
    <w:rsid w:val="00E76E45"/>
    <w:rsid w:val="00ED6B05"/>
    <w:rsid w:val="00F2207D"/>
    <w:rsid w:val="00FA52FC"/>
    <w:rsid w:val="00FF6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88224"/>
  <w15:chartTrackingRefBased/>
  <w15:docId w15:val="{A29666AD-4DE9-4743-BC0E-14FE4D9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outlineLvl w:val="0"/>
    </w:pPr>
    <w:rPr>
      <w:rFonts w:ascii="Times New Roman" w:hAnsi="Times New Roman"/>
      <w:b/>
      <w:bCs/>
      <w:sz w:val="20"/>
      <w:szCs w:val="24"/>
    </w:rPr>
  </w:style>
  <w:style w:type="paragraph" w:styleId="Heading2">
    <w:name w:val="heading 2"/>
    <w:basedOn w:val="Normal"/>
    <w:next w:val="Normal"/>
    <w:qFormat/>
    <w:pPr>
      <w:keepNext/>
      <w:outlineLvl w:val="1"/>
    </w:pPr>
    <w:rPr>
      <w:rFonts w:ascii="Times New Roman" w:hAnsi="Times New Roman"/>
      <w:b/>
      <w:bCs/>
      <w:sz w:val="16"/>
      <w:szCs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F7D"/>
    <w:pPr>
      <w:ind w:left="720"/>
      <w:contextualSpacing/>
    </w:pPr>
  </w:style>
  <w:style w:type="character" w:styleId="Hyperlink">
    <w:name w:val="Hyperlink"/>
    <w:basedOn w:val="DefaultParagraphFont"/>
    <w:rsid w:val="00FF6368"/>
    <w:rPr>
      <w:color w:val="0563C1" w:themeColor="hyperlink"/>
      <w:u w:val="single"/>
    </w:rPr>
  </w:style>
  <w:style w:type="character" w:styleId="UnresolvedMention">
    <w:name w:val="Unresolved Mention"/>
    <w:basedOn w:val="DefaultParagraphFont"/>
    <w:uiPriority w:val="99"/>
    <w:semiHidden/>
    <w:unhideWhenUsed/>
    <w:rsid w:val="00FF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88213">
      <w:bodyDiv w:val="1"/>
      <w:marLeft w:val="0"/>
      <w:marRight w:val="0"/>
      <w:marTop w:val="0"/>
      <w:marBottom w:val="0"/>
      <w:divBdr>
        <w:top w:val="none" w:sz="0" w:space="0" w:color="auto"/>
        <w:left w:val="none" w:sz="0" w:space="0" w:color="auto"/>
        <w:bottom w:val="none" w:sz="0" w:space="0" w:color="auto"/>
        <w:right w:val="none" w:sz="0" w:space="0" w:color="auto"/>
      </w:divBdr>
    </w:div>
    <w:div w:id="19698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Educ 475 – Lesson #1</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475 – Lesson #1</dc:title>
  <dc:subject/>
  <dc:creator>Peter Liljedahl</dc:creator>
  <cp:keywords/>
  <dc:description/>
  <cp:lastModifiedBy>Peter Liljedahl</cp:lastModifiedBy>
  <cp:revision>2</cp:revision>
  <cp:lastPrinted>2008-05-28T15:18:00Z</cp:lastPrinted>
  <dcterms:created xsi:type="dcterms:W3CDTF">2020-03-18T20:02:00Z</dcterms:created>
  <dcterms:modified xsi:type="dcterms:W3CDTF">2020-03-18T20:02:00Z</dcterms:modified>
</cp:coreProperties>
</file>